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24B" w:rsidRPr="000B2D41" w:rsidRDefault="007F024B"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Background:</w:t>
      </w:r>
    </w:p>
    <w:p w:rsidR="007F024B" w:rsidRPr="000B2D41" w:rsidRDefault="007F024B" w:rsidP="00C975FD">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George’s Software Inc. is a C corporation. The corporation is also a year-end, cash basis taxpayer. The Business entertains customers as a strategy to win new business and maintain a relationship with the existing customers.</w:t>
      </w:r>
      <w:r w:rsidR="00C975FD" w:rsidRPr="000B2D41">
        <w:rPr>
          <w:rFonts w:ascii="Times New Roman" w:hAnsi="Times New Roman" w:cs="Times New Roman"/>
          <w:sz w:val="24"/>
          <w:szCs w:val="24"/>
        </w:rPr>
        <w:t xml:space="preserve"> </w:t>
      </w:r>
      <w:r w:rsidRPr="000B2D41">
        <w:rPr>
          <w:rFonts w:ascii="Times New Roman" w:hAnsi="Times New Roman" w:cs="Times New Roman"/>
          <w:sz w:val="24"/>
          <w:szCs w:val="24"/>
        </w:rPr>
        <w:t xml:space="preserve">The entertainment can involve taking the customers to a football or basketball game. At other times, it involves taking them to a restaurant to wine and dine. </w:t>
      </w:r>
      <w:r w:rsidR="00535880" w:rsidRPr="000B2D41">
        <w:rPr>
          <w:rFonts w:ascii="Times New Roman" w:hAnsi="Times New Roman" w:cs="Times New Roman"/>
          <w:sz w:val="24"/>
          <w:szCs w:val="24"/>
        </w:rPr>
        <w:t>Many customers are in other states so at times employees travel and stay a night or two nea</w:t>
      </w:r>
      <w:r w:rsidR="00763A3C" w:rsidRPr="000B2D41">
        <w:rPr>
          <w:rFonts w:ascii="Times New Roman" w:hAnsi="Times New Roman" w:cs="Times New Roman"/>
          <w:sz w:val="24"/>
          <w:szCs w:val="24"/>
        </w:rPr>
        <w:t>r the location of the customers. Additionally</w:t>
      </w:r>
      <w:r w:rsidRPr="000B2D41">
        <w:rPr>
          <w:rFonts w:ascii="Times New Roman" w:hAnsi="Times New Roman" w:cs="Times New Roman"/>
          <w:sz w:val="24"/>
          <w:szCs w:val="24"/>
        </w:rPr>
        <w:t>, every quarter, the CEO takes the top ten business development executives to lunch</w:t>
      </w:r>
      <w:r w:rsidR="00763A3C" w:rsidRPr="000B2D41">
        <w:rPr>
          <w:rFonts w:ascii="Times New Roman" w:hAnsi="Times New Roman" w:cs="Times New Roman"/>
          <w:sz w:val="24"/>
          <w:szCs w:val="24"/>
        </w:rPr>
        <w:t xml:space="preserve"> as a way of winning more business contracts.</w:t>
      </w:r>
    </w:p>
    <w:p w:rsidR="009A2A5E" w:rsidRPr="000B2D41" w:rsidRDefault="00234C1F"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Facts</w:t>
      </w:r>
      <w:r w:rsidR="00377765" w:rsidRPr="000B2D41">
        <w:rPr>
          <w:rFonts w:ascii="Times New Roman" w:hAnsi="Times New Roman" w:cs="Times New Roman"/>
          <w:b/>
          <w:sz w:val="24"/>
          <w:szCs w:val="24"/>
        </w:rPr>
        <w:t>:</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 xml:space="preserve">George’s Software Inc. is a C corporation. </w:t>
      </w:r>
    </w:p>
    <w:p w:rsidR="00690EDE" w:rsidRPr="000B2D41" w:rsidRDefault="00D32099"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Your</w:t>
      </w:r>
      <w:r w:rsidR="001B76C8" w:rsidRPr="000B2D41">
        <w:rPr>
          <w:rFonts w:ascii="Times New Roman" w:hAnsi="Times New Roman" w:cs="Times New Roman"/>
          <w:sz w:val="24"/>
          <w:szCs w:val="24"/>
        </w:rPr>
        <w:t xml:space="preserve"> corporation is also a year-end, cash basis taxpayer. </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The Business entertains customers as a strategy to win new business and maintain a relationship with the existing customers.</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 xml:space="preserve">The entertainment can involve taking the customers to a football or basketball game. At other times, it involves taking them to a restaurant to wine and dine. </w:t>
      </w:r>
    </w:p>
    <w:p w:rsidR="00690EDE"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Due to the distance gap between many customers and the business, this may require employees to travel to be near them.</w:t>
      </w:r>
    </w:p>
    <w:p w:rsidR="001B76C8" w:rsidRPr="000B2D41" w:rsidRDefault="001B76C8" w:rsidP="00690EDE">
      <w:pPr>
        <w:pStyle w:val="ListParagraph"/>
        <w:numPr>
          <w:ilvl w:val="0"/>
          <w:numId w:val="2"/>
        </w:num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Also, as a way of winning more business contracts, every quarter, the CEO takes the top ten business development executives to lunch.</w:t>
      </w:r>
    </w:p>
    <w:p w:rsidR="00CB2D40" w:rsidRPr="000B2D41" w:rsidRDefault="00264DE2"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Issue</w:t>
      </w:r>
      <w:r w:rsidR="00377765" w:rsidRPr="000B2D41">
        <w:rPr>
          <w:rFonts w:ascii="Times New Roman" w:hAnsi="Times New Roman" w:cs="Times New Roman"/>
          <w:b/>
          <w:sz w:val="24"/>
          <w:szCs w:val="24"/>
        </w:rPr>
        <w:t>:</w:t>
      </w:r>
    </w:p>
    <w:p w:rsidR="00264DE2" w:rsidRPr="000B2D41" w:rsidRDefault="00264DE2"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Is</w:t>
      </w:r>
      <w:r w:rsidR="00047C1B" w:rsidRPr="000B2D41">
        <w:rPr>
          <w:rFonts w:ascii="Times New Roman" w:hAnsi="Times New Roman" w:cs="Times New Roman"/>
          <w:sz w:val="24"/>
          <w:szCs w:val="24"/>
        </w:rPr>
        <w:t xml:space="preserve"> George’s Software</w:t>
      </w:r>
      <w:r w:rsidRPr="000B2D41">
        <w:rPr>
          <w:rFonts w:ascii="Times New Roman" w:hAnsi="Times New Roman" w:cs="Times New Roman"/>
          <w:sz w:val="24"/>
          <w:szCs w:val="24"/>
        </w:rPr>
        <w:t xml:space="preserve"> </w:t>
      </w:r>
      <w:r w:rsidR="00047C1B" w:rsidRPr="000B2D41">
        <w:rPr>
          <w:rFonts w:ascii="Times New Roman" w:hAnsi="Times New Roman" w:cs="Times New Roman"/>
          <w:sz w:val="24"/>
          <w:szCs w:val="24"/>
        </w:rPr>
        <w:t>Inc.</w:t>
      </w:r>
      <w:r w:rsidRPr="000B2D41">
        <w:rPr>
          <w:rFonts w:ascii="Times New Roman" w:hAnsi="Times New Roman" w:cs="Times New Roman"/>
          <w:sz w:val="24"/>
          <w:szCs w:val="24"/>
        </w:rPr>
        <w:t xml:space="preserve"> allowed deduction</w:t>
      </w:r>
      <w:r w:rsidR="00B12614" w:rsidRPr="000B2D41">
        <w:rPr>
          <w:rFonts w:ascii="Times New Roman" w:hAnsi="Times New Roman" w:cs="Times New Roman"/>
          <w:sz w:val="24"/>
          <w:szCs w:val="24"/>
        </w:rPr>
        <w:t xml:space="preserve">s </w:t>
      </w:r>
      <w:r w:rsidR="00E60877" w:rsidRPr="000B2D41">
        <w:rPr>
          <w:rFonts w:ascii="Times New Roman" w:hAnsi="Times New Roman" w:cs="Times New Roman"/>
          <w:sz w:val="24"/>
          <w:szCs w:val="24"/>
        </w:rPr>
        <w:t>on meals</w:t>
      </w:r>
      <w:r w:rsidR="00CB2D40" w:rsidRPr="000B2D41">
        <w:rPr>
          <w:rFonts w:ascii="Times New Roman" w:hAnsi="Times New Roman" w:cs="Times New Roman"/>
          <w:sz w:val="24"/>
          <w:szCs w:val="24"/>
        </w:rPr>
        <w:t>, travel,</w:t>
      </w:r>
      <w:r w:rsidR="00E60877" w:rsidRPr="000B2D41">
        <w:rPr>
          <w:rFonts w:ascii="Times New Roman" w:hAnsi="Times New Roman" w:cs="Times New Roman"/>
          <w:sz w:val="24"/>
          <w:szCs w:val="24"/>
        </w:rPr>
        <w:t xml:space="preserve"> and entertainment expenses under code section 274</w:t>
      </w:r>
      <w:r w:rsidR="005F7B1E" w:rsidRPr="000B2D41">
        <w:rPr>
          <w:rFonts w:ascii="Times New Roman" w:hAnsi="Times New Roman" w:cs="Times New Roman"/>
          <w:sz w:val="24"/>
          <w:szCs w:val="24"/>
        </w:rPr>
        <w:t>?</w:t>
      </w:r>
    </w:p>
    <w:p w:rsidR="001F2B31" w:rsidRPr="000B2D41" w:rsidRDefault="001F2B31"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Relevant Authorities</w:t>
      </w:r>
      <w:r w:rsidR="00603F71" w:rsidRPr="000B2D41">
        <w:rPr>
          <w:rFonts w:ascii="Times New Roman" w:hAnsi="Times New Roman" w:cs="Times New Roman"/>
          <w:b/>
          <w:sz w:val="24"/>
          <w:szCs w:val="24"/>
        </w:rPr>
        <w:t>:</w:t>
      </w:r>
    </w:p>
    <w:p w:rsidR="003046A8" w:rsidRPr="000B2D41" w:rsidRDefault="0043734F"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5A630F" w:rsidRPr="000B2D41">
        <w:rPr>
          <w:rFonts w:ascii="Times New Roman" w:hAnsi="Times New Roman" w:cs="Times New Roman"/>
          <w:sz w:val="24"/>
          <w:szCs w:val="24"/>
        </w:rPr>
        <w:t xml:space="preserve"> 162</w:t>
      </w:r>
    </w:p>
    <w:p w:rsidR="0043734F" w:rsidRPr="000B2D41" w:rsidRDefault="0043734F" w:rsidP="0043734F">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5A630F" w:rsidRPr="000B2D41">
        <w:rPr>
          <w:rFonts w:ascii="Times New Roman" w:hAnsi="Times New Roman" w:cs="Times New Roman"/>
          <w:sz w:val="24"/>
          <w:szCs w:val="24"/>
        </w:rPr>
        <w:t xml:space="preserve"> 274(a)</w:t>
      </w:r>
    </w:p>
    <w:p w:rsidR="005A630F" w:rsidRPr="000B2D41" w:rsidRDefault="005A630F" w:rsidP="005A630F">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6C31ED" w:rsidRPr="000B2D41">
        <w:rPr>
          <w:rFonts w:ascii="Times New Roman" w:hAnsi="Times New Roman" w:cs="Times New Roman"/>
          <w:sz w:val="24"/>
          <w:szCs w:val="24"/>
        </w:rPr>
        <w:t>274(n)</w:t>
      </w:r>
    </w:p>
    <w:p w:rsidR="005A630F" w:rsidRPr="000B2D41" w:rsidRDefault="005A630F" w:rsidP="005A630F">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IRC §</w:t>
      </w:r>
      <w:r w:rsidR="001F2B31" w:rsidRPr="000B2D41">
        <w:rPr>
          <w:rFonts w:ascii="Times New Roman" w:hAnsi="Times New Roman" w:cs="Times New Roman"/>
          <w:sz w:val="24"/>
          <w:szCs w:val="24"/>
        </w:rPr>
        <w:t>275(m)</w:t>
      </w:r>
    </w:p>
    <w:p w:rsidR="0043734F" w:rsidRPr="000B2D41" w:rsidRDefault="00626A58" w:rsidP="00C452A4">
      <w:pPr>
        <w:spacing w:line="360" w:lineRule="auto"/>
        <w:jc w:val="both"/>
        <w:rPr>
          <w:rFonts w:ascii="Times New Roman" w:hAnsi="Times New Roman" w:cs="Times New Roman"/>
          <w:sz w:val="24"/>
          <w:szCs w:val="24"/>
        </w:rPr>
      </w:pPr>
      <w:proofErr w:type="spellStart"/>
      <w:r w:rsidRPr="000B2D41">
        <w:rPr>
          <w:rFonts w:ascii="Times New Roman" w:hAnsi="Times New Roman" w:cs="Times New Roman"/>
          <w:sz w:val="24"/>
          <w:szCs w:val="24"/>
        </w:rPr>
        <w:lastRenderedPageBreak/>
        <w:t>Regs</w:t>
      </w:r>
      <w:proofErr w:type="spellEnd"/>
      <w:r w:rsidRPr="000B2D41">
        <w:rPr>
          <w:rFonts w:ascii="Times New Roman" w:hAnsi="Times New Roman" w:cs="Times New Roman"/>
          <w:sz w:val="24"/>
          <w:szCs w:val="24"/>
        </w:rPr>
        <w:t xml:space="preserve"> § 1.274-2(b</w:t>
      </w:r>
      <w:proofErr w:type="gramStart"/>
      <w:r w:rsidRPr="000B2D41">
        <w:rPr>
          <w:rFonts w:ascii="Times New Roman" w:hAnsi="Times New Roman" w:cs="Times New Roman"/>
          <w:sz w:val="24"/>
          <w:szCs w:val="24"/>
        </w:rPr>
        <w:t>)(</w:t>
      </w:r>
      <w:proofErr w:type="gramEnd"/>
      <w:r w:rsidRPr="000B2D41">
        <w:rPr>
          <w:rFonts w:ascii="Times New Roman" w:hAnsi="Times New Roman" w:cs="Times New Roman"/>
          <w:sz w:val="24"/>
          <w:szCs w:val="24"/>
        </w:rPr>
        <w:t>1)(</w:t>
      </w:r>
      <w:proofErr w:type="spellStart"/>
      <w:r w:rsidRPr="000B2D41">
        <w:rPr>
          <w:rFonts w:ascii="Times New Roman" w:hAnsi="Times New Roman" w:cs="Times New Roman"/>
          <w:sz w:val="24"/>
          <w:szCs w:val="24"/>
        </w:rPr>
        <w:t>i</w:t>
      </w:r>
      <w:proofErr w:type="spellEnd"/>
      <w:r w:rsidRPr="000B2D41">
        <w:rPr>
          <w:rFonts w:ascii="Times New Roman" w:hAnsi="Times New Roman" w:cs="Times New Roman"/>
          <w:sz w:val="24"/>
          <w:szCs w:val="24"/>
        </w:rPr>
        <w:t>)</w:t>
      </w:r>
    </w:p>
    <w:p w:rsidR="00932EA3" w:rsidRPr="000B2D41" w:rsidRDefault="00932EA3"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u w:val="single"/>
        </w:rPr>
        <w:t>BJR Corporation, v. Commissioner of Internal Revenue</w:t>
      </w:r>
      <w:r w:rsidR="006A323C" w:rsidRPr="000B2D41">
        <w:rPr>
          <w:rFonts w:ascii="Times New Roman" w:hAnsi="Times New Roman" w:cs="Times New Roman"/>
          <w:sz w:val="24"/>
          <w:szCs w:val="24"/>
        </w:rPr>
        <w:t>, 67 TC 111 (1976). Tax Court &amp; Board of Tax Appeals Reported Decisions (1924–2005)</w:t>
      </w:r>
    </w:p>
    <w:p w:rsidR="00FB6DA2" w:rsidRPr="000B2D41" w:rsidRDefault="000B3C22"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u w:val="single"/>
        </w:rPr>
        <w:t>Churchill Downs Inc., et al. v. Commissioner</w:t>
      </w:r>
      <w:r w:rsidRPr="000B2D41">
        <w:rPr>
          <w:rFonts w:ascii="Times New Roman" w:hAnsi="Times New Roman" w:cs="Times New Roman"/>
          <w:sz w:val="24"/>
          <w:szCs w:val="24"/>
        </w:rPr>
        <w:t xml:space="preserve">, </w:t>
      </w:r>
      <w:r w:rsidR="00FB6DA2" w:rsidRPr="000B2D41">
        <w:rPr>
          <w:rFonts w:ascii="Times New Roman" w:hAnsi="Times New Roman" w:cs="Times New Roman"/>
          <w:sz w:val="24"/>
          <w:szCs w:val="24"/>
        </w:rPr>
        <w:t>115 TC 279, code Sec(s) 274, (2000). Tax Court &amp; Board of Tax Appeals Reported Decisions (1924–2005).</w:t>
      </w:r>
    </w:p>
    <w:p w:rsidR="003046A8" w:rsidRPr="000B2D41" w:rsidRDefault="003046A8" w:rsidP="003046A8">
      <w:pPr>
        <w:spacing w:line="360" w:lineRule="auto"/>
        <w:jc w:val="both"/>
        <w:rPr>
          <w:rFonts w:ascii="Times New Roman" w:hAnsi="Times New Roman" w:cs="Times New Roman"/>
          <w:sz w:val="24"/>
          <w:szCs w:val="24"/>
        </w:rPr>
      </w:pPr>
      <w:r w:rsidRPr="000B2D41">
        <w:rPr>
          <w:rFonts w:ascii="Times New Roman" w:hAnsi="Times New Roman" w:cs="Times New Roman"/>
          <w:b/>
          <w:sz w:val="24"/>
          <w:szCs w:val="24"/>
        </w:rPr>
        <w:t>Conclusion:</w:t>
      </w:r>
      <w:r w:rsidRPr="000B2D41">
        <w:rPr>
          <w:rFonts w:ascii="Times New Roman" w:hAnsi="Times New Roman" w:cs="Times New Roman"/>
          <w:sz w:val="24"/>
          <w:szCs w:val="24"/>
        </w:rPr>
        <w:t xml:space="preserve"> </w:t>
      </w:r>
    </w:p>
    <w:p w:rsidR="003046A8" w:rsidRPr="000B2D41" w:rsidRDefault="003046A8"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Your business will not be able to deduct entertainment expenses incurred in the process of winning new contracts and maintaining existing clients. However, the client’s meal expenses can be deducted up to 50 percent as they lie within the scope of the new TCJA of 2017. Consequently, travel expenses incurred by the firm also qualify for deduction as they involve legitimate business engagements as outlined by law. As seen above, the three expenses have different deduction provisions even though they are accrued simultaneously relative to one another.</w:t>
      </w:r>
    </w:p>
    <w:p w:rsidR="00234C1F" w:rsidRPr="000B2D41" w:rsidRDefault="00234C1F" w:rsidP="00C452A4">
      <w:pPr>
        <w:spacing w:line="360" w:lineRule="auto"/>
        <w:jc w:val="both"/>
        <w:rPr>
          <w:rFonts w:ascii="Times New Roman" w:hAnsi="Times New Roman" w:cs="Times New Roman"/>
          <w:b/>
          <w:sz w:val="24"/>
          <w:szCs w:val="24"/>
        </w:rPr>
      </w:pPr>
      <w:r w:rsidRPr="000B2D41">
        <w:rPr>
          <w:rFonts w:ascii="Times New Roman" w:hAnsi="Times New Roman" w:cs="Times New Roman"/>
          <w:b/>
          <w:sz w:val="24"/>
          <w:szCs w:val="24"/>
        </w:rPr>
        <w:t>Analysis</w:t>
      </w:r>
      <w:r w:rsidR="00377765" w:rsidRPr="000B2D41">
        <w:rPr>
          <w:rFonts w:ascii="Times New Roman" w:hAnsi="Times New Roman" w:cs="Times New Roman"/>
          <w:b/>
          <w:sz w:val="24"/>
          <w:szCs w:val="24"/>
        </w:rPr>
        <w:t>:</w:t>
      </w:r>
    </w:p>
    <w:p w:rsidR="00CC366C" w:rsidRPr="000B2D41" w:rsidRDefault="001B76C8" w:rsidP="00C452A4">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 xml:space="preserve">The general rule for meals is that meal </w:t>
      </w:r>
      <w:r w:rsidR="00585099">
        <w:rPr>
          <w:rFonts w:ascii="Times New Roman" w:hAnsi="Times New Roman" w:cs="Times New Roman"/>
          <w:sz w:val="24"/>
          <w:szCs w:val="24"/>
        </w:rPr>
        <w:t>e</w:t>
      </w:r>
      <w:r w:rsidR="00585099" w:rsidRPr="00585099">
        <w:rPr>
          <w:rFonts w:ascii="Times New Roman" w:hAnsi="Times New Roman" w:cs="Times New Roman"/>
          <w:sz w:val="24"/>
          <w:szCs w:val="24"/>
        </w:rPr>
        <w:t xml:space="preserve">xpenses can be deducted up to 50% if they are directly related to the business. </w:t>
      </w:r>
      <w:r w:rsidRPr="000B2D41">
        <w:rPr>
          <w:rFonts w:ascii="Times New Roman" w:hAnsi="Times New Roman" w:cs="Times New Roman"/>
          <w:sz w:val="24"/>
          <w:szCs w:val="24"/>
        </w:rPr>
        <w:t>or meet the business exceptions § 274(n)(1). One of the specific exceptions for meal expenses concerns the presence of the taxpayer or their employee at the time the food or beverages are served. Previously, the law stated taxpayers could also deduct 50 percent of meals costs, so they remained despite the entertainment expen</w:t>
      </w:r>
      <w:r w:rsidR="00603F71" w:rsidRPr="000B2D41">
        <w:rPr>
          <w:rFonts w:ascii="Times New Roman" w:hAnsi="Times New Roman" w:cs="Times New Roman"/>
          <w:sz w:val="24"/>
          <w:szCs w:val="24"/>
        </w:rPr>
        <w:t>ses deduction being eliminated.</w:t>
      </w:r>
    </w:p>
    <w:p w:rsidR="00E956B7" w:rsidRPr="000B2D41" w:rsidRDefault="001B76C8" w:rsidP="00390916">
      <w:pPr>
        <w:spacing w:line="360" w:lineRule="auto"/>
        <w:jc w:val="both"/>
        <w:rPr>
          <w:rFonts w:ascii="Times New Roman" w:hAnsi="Times New Roman" w:cs="Times New Roman"/>
          <w:i/>
          <w:sz w:val="24"/>
          <w:szCs w:val="24"/>
        </w:rPr>
      </w:pPr>
      <w:r w:rsidRPr="000B2D41">
        <w:rPr>
          <w:rFonts w:ascii="Times New Roman" w:hAnsi="Times New Roman" w:cs="Times New Roman"/>
          <w:sz w:val="24"/>
          <w:szCs w:val="24"/>
        </w:rPr>
        <w:t xml:space="preserve">The general rule for entertainment expenses is that deduction for an activity considered as entertainment is disallowed unless there is a particular exception as contained in </w:t>
      </w:r>
      <w:r w:rsidR="00BD7B62" w:rsidRPr="000B2D41">
        <w:rPr>
          <w:rFonts w:ascii="Times New Roman" w:hAnsi="Times New Roman" w:cs="Times New Roman"/>
          <w:sz w:val="24"/>
          <w:szCs w:val="24"/>
        </w:rPr>
        <w:t>Section 274</w:t>
      </w:r>
      <w:r w:rsidR="00915D5C">
        <w:rPr>
          <w:rFonts w:ascii="Times New Roman" w:hAnsi="Times New Roman" w:cs="Times New Roman"/>
          <w:sz w:val="24"/>
          <w:szCs w:val="24"/>
        </w:rPr>
        <w:t xml:space="preserve"> </w:t>
      </w:r>
      <w:r w:rsidR="00BD7B62" w:rsidRPr="000B2D41">
        <w:rPr>
          <w:rFonts w:ascii="Times New Roman" w:hAnsi="Times New Roman" w:cs="Times New Roman"/>
          <w:sz w:val="24"/>
          <w:szCs w:val="24"/>
        </w:rPr>
        <w:t xml:space="preserve">(e)(1) - (9). </w:t>
      </w:r>
      <w:r w:rsidRPr="000B2D41">
        <w:rPr>
          <w:rFonts w:ascii="Times New Roman" w:hAnsi="Times New Roman" w:cs="Times New Roman"/>
          <w:sz w:val="24"/>
          <w:szCs w:val="24"/>
        </w:rPr>
        <w:t xml:space="preserve">The term </w:t>
      </w:r>
      <w:bookmarkStart w:id="0" w:name="_GoBack"/>
      <w:bookmarkEnd w:id="0"/>
      <w:r w:rsidRPr="000B2D41">
        <w:rPr>
          <w:rFonts w:ascii="Times New Roman" w:hAnsi="Times New Roman" w:cs="Times New Roman"/>
          <w:sz w:val="24"/>
          <w:szCs w:val="24"/>
        </w:rPr>
        <w:t>“entertainment” is defined as any activity that consists of amusement, and recreation. One-exception states that the ent</w:t>
      </w:r>
      <w:r w:rsidR="00641115">
        <w:rPr>
          <w:rFonts w:ascii="Times New Roman" w:hAnsi="Times New Roman" w:cs="Times New Roman"/>
          <w:sz w:val="24"/>
          <w:szCs w:val="24"/>
        </w:rPr>
        <w:t>ertainment should not be lavish. F</w:t>
      </w:r>
      <w:r w:rsidR="00641115" w:rsidRPr="00836E38">
        <w:rPr>
          <w:rFonts w:ascii="Times New Roman" w:hAnsi="Times New Roman" w:cs="Times New Roman"/>
          <w:sz w:val="24"/>
          <w:szCs w:val="24"/>
        </w:rPr>
        <w:t>or example</w:t>
      </w:r>
      <w:r w:rsidR="00D1325F" w:rsidRPr="00836E38">
        <w:rPr>
          <w:rFonts w:ascii="Times New Roman" w:hAnsi="Times New Roman" w:cs="Times New Roman"/>
          <w:sz w:val="24"/>
          <w:szCs w:val="24"/>
        </w:rPr>
        <w:t>, car</w:t>
      </w:r>
      <w:r w:rsidR="00836E38" w:rsidRPr="00836E38">
        <w:rPr>
          <w:rFonts w:ascii="Times New Roman" w:hAnsi="Times New Roman" w:cs="Times New Roman"/>
          <w:sz w:val="24"/>
          <w:szCs w:val="24"/>
        </w:rPr>
        <w:t xml:space="preserve"> utilized in the active conduct of business, </w:t>
      </w:r>
      <w:r w:rsidR="005713B6">
        <w:rPr>
          <w:rFonts w:ascii="Times New Roman" w:hAnsi="Times New Roman" w:cs="Times New Roman"/>
          <w:sz w:val="24"/>
          <w:szCs w:val="24"/>
        </w:rPr>
        <w:t>is not a sport</w:t>
      </w:r>
      <w:r w:rsidRPr="000B2D41">
        <w:rPr>
          <w:rFonts w:ascii="Times New Roman" w:hAnsi="Times New Roman" w:cs="Times New Roman"/>
          <w:sz w:val="24"/>
          <w:szCs w:val="24"/>
        </w:rPr>
        <w:t>. Furthermore, the meal and entertainment expenses are mentioned separately because the entertainment disallowance rule cannot be avoided by increasing the amount charged</w:t>
      </w:r>
      <w:r w:rsidR="00BD7B62" w:rsidRPr="000B2D41">
        <w:rPr>
          <w:rFonts w:ascii="Times New Roman" w:hAnsi="Times New Roman" w:cs="Times New Roman"/>
          <w:sz w:val="24"/>
          <w:szCs w:val="24"/>
        </w:rPr>
        <w:t xml:space="preserve"> for food and beverages. </w:t>
      </w:r>
      <w:r w:rsidR="00CF3644" w:rsidRPr="000B2D41">
        <w:rPr>
          <w:rFonts w:ascii="Times New Roman" w:hAnsi="Times New Roman" w:cs="Times New Roman"/>
          <w:sz w:val="24"/>
          <w:szCs w:val="24"/>
        </w:rPr>
        <w:t xml:space="preserve">There is </w:t>
      </w:r>
      <w:r w:rsidR="001742E1" w:rsidRPr="000B2D41">
        <w:rPr>
          <w:rFonts w:ascii="Times New Roman" w:hAnsi="Times New Roman" w:cs="Times New Roman"/>
          <w:sz w:val="24"/>
          <w:szCs w:val="24"/>
        </w:rPr>
        <w:t>judicial authority (</w:t>
      </w:r>
      <w:r w:rsidR="00C959FC" w:rsidRPr="000B2D41">
        <w:rPr>
          <w:rFonts w:ascii="Times New Roman" w:hAnsi="Times New Roman" w:cs="Times New Roman"/>
          <w:sz w:val="24"/>
          <w:szCs w:val="24"/>
          <w:u w:val="single"/>
        </w:rPr>
        <w:t>Churchill Downs Inc</w:t>
      </w:r>
      <w:r w:rsidR="009F46CB" w:rsidRPr="000B2D41">
        <w:rPr>
          <w:rFonts w:ascii="Times New Roman" w:hAnsi="Times New Roman" w:cs="Times New Roman"/>
          <w:sz w:val="24"/>
          <w:szCs w:val="24"/>
          <w:u w:val="single"/>
        </w:rPr>
        <w:t>.</w:t>
      </w:r>
      <w:r w:rsidR="001742E1" w:rsidRPr="000B2D41">
        <w:rPr>
          <w:rFonts w:ascii="Times New Roman" w:hAnsi="Times New Roman" w:cs="Times New Roman"/>
          <w:sz w:val="24"/>
          <w:szCs w:val="24"/>
          <w:u w:val="single"/>
        </w:rPr>
        <w:t>)</w:t>
      </w:r>
      <w:r w:rsidR="00C959FC" w:rsidRPr="000B2D41">
        <w:rPr>
          <w:rFonts w:ascii="Times New Roman" w:hAnsi="Times New Roman" w:cs="Times New Roman"/>
          <w:sz w:val="24"/>
          <w:szCs w:val="24"/>
        </w:rPr>
        <w:t xml:space="preserve"> </w:t>
      </w:r>
      <w:r w:rsidR="007D3802" w:rsidRPr="000B2D41">
        <w:rPr>
          <w:rFonts w:ascii="Times New Roman" w:hAnsi="Times New Roman" w:cs="Times New Roman"/>
          <w:sz w:val="24"/>
          <w:szCs w:val="24"/>
        </w:rPr>
        <w:t xml:space="preserve">that shows that entertainment deduction can only </w:t>
      </w:r>
      <w:r w:rsidR="009F46CB" w:rsidRPr="000B2D41">
        <w:rPr>
          <w:rFonts w:ascii="Times New Roman" w:hAnsi="Times New Roman" w:cs="Times New Roman"/>
          <w:sz w:val="24"/>
          <w:szCs w:val="24"/>
        </w:rPr>
        <w:t xml:space="preserve">be allowed under </w:t>
      </w:r>
      <w:r w:rsidR="001737F0" w:rsidRPr="000B2D41">
        <w:rPr>
          <w:rFonts w:ascii="Times New Roman" w:hAnsi="Times New Roman" w:cs="Times New Roman"/>
          <w:sz w:val="24"/>
          <w:szCs w:val="24"/>
        </w:rPr>
        <w:t xml:space="preserve">9 outlines exceptions. </w:t>
      </w:r>
    </w:p>
    <w:p w:rsidR="00D62715" w:rsidRPr="000B2D41" w:rsidRDefault="00F33C25" w:rsidP="00F33C25">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lastRenderedPageBreak/>
        <w:t>The accountant for George’s Software Inc. can deduct the cost of meals for taking the existing and potential clients to lunch. However, the deduction is strictly limited by law to 50 percent, despite the elimination of substantiation requirements for entertainment expenses by TCJA Section 13304(a)(2)(A , documentation requirement still stands for meals as provided by section 162.</w:t>
      </w:r>
      <w:r w:rsidR="00CD20E7" w:rsidRPr="000B2D41">
        <w:rPr>
          <w:rFonts w:ascii="Times New Roman" w:hAnsi="Times New Roman" w:cs="Times New Roman"/>
          <w:sz w:val="24"/>
          <w:szCs w:val="24"/>
        </w:rPr>
        <w:t xml:space="preserve"> </w:t>
      </w:r>
      <w:r w:rsidR="00811A4F" w:rsidRPr="000B2D41">
        <w:rPr>
          <w:rFonts w:ascii="Times New Roman" w:hAnsi="Times New Roman" w:cs="Times New Roman"/>
          <w:sz w:val="24"/>
          <w:szCs w:val="24"/>
        </w:rPr>
        <w:t>The judicial authority</w:t>
      </w:r>
      <w:r w:rsidR="006A323C" w:rsidRPr="000B2D41">
        <w:rPr>
          <w:rFonts w:ascii="Times New Roman" w:hAnsi="Times New Roman" w:cs="Times New Roman"/>
          <w:sz w:val="24"/>
          <w:szCs w:val="24"/>
        </w:rPr>
        <w:t xml:space="preserve"> for</w:t>
      </w:r>
      <w:r w:rsidR="00811A4F" w:rsidRPr="000B2D41">
        <w:rPr>
          <w:rFonts w:ascii="Times New Roman" w:hAnsi="Times New Roman" w:cs="Times New Roman"/>
          <w:sz w:val="24"/>
          <w:szCs w:val="24"/>
        </w:rPr>
        <w:t xml:space="preserve"> (</w:t>
      </w:r>
      <w:r w:rsidR="002A21E6" w:rsidRPr="000B2D41">
        <w:rPr>
          <w:rFonts w:ascii="Times New Roman" w:hAnsi="Times New Roman" w:cs="Times New Roman"/>
          <w:sz w:val="24"/>
          <w:szCs w:val="24"/>
          <w:u w:val="single"/>
        </w:rPr>
        <w:t>BJR Corporation</w:t>
      </w:r>
      <w:r w:rsidR="00811A4F" w:rsidRPr="000B2D41">
        <w:rPr>
          <w:rFonts w:ascii="Times New Roman" w:hAnsi="Times New Roman" w:cs="Times New Roman"/>
          <w:sz w:val="24"/>
          <w:szCs w:val="24"/>
        </w:rPr>
        <w:t>)</w:t>
      </w:r>
      <w:r w:rsidR="002A21E6" w:rsidRPr="000B2D41">
        <w:rPr>
          <w:rFonts w:ascii="Times New Roman" w:hAnsi="Times New Roman" w:cs="Times New Roman"/>
          <w:sz w:val="24"/>
          <w:szCs w:val="24"/>
        </w:rPr>
        <w:t xml:space="preserve"> indicates that a deduction disallowance is effective in absence of proper documentation </w:t>
      </w:r>
      <w:r w:rsidR="00636DF3" w:rsidRPr="000B2D41">
        <w:rPr>
          <w:rFonts w:ascii="Times New Roman" w:hAnsi="Times New Roman" w:cs="Times New Roman"/>
          <w:sz w:val="24"/>
          <w:szCs w:val="24"/>
        </w:rPr>
        <w:t>of travel expenses.</w:t>
      </w:r>
    </w:p>
    <w:p w:rsidR="00F33C25" w:rsidRPr="000B2D41" w:rsidRDefault="00CD20E7" w:rsidP="00F33C25">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The business is not permitted to deduct the cost of taking clients to either football or basketball games as these activities fall under entertainment expenses whose deductions were repealed completely. The question of if it makes a difference if food is provided is critical as IRC code 174(d) distinguishes between meals and entertainment activities. It states that they are different elements whose costs should be recorded separately.</w:t>
      </w:r>
      <w:r w:rsidR="0059587B" w:rsidRPr="000B2D41">
        <w:rPr>
          <w:rFonts w:ascii="Times New Roman" w:hAnsi="Times New Roman" w:cs="Times New Roman"/>
          <w:sz w:val="24"/>
          <w:szCs w:val="24"/>
        </w:rPr>
        <w:t xml:space="preserve"> </w:t>
      </w:r>
    </w:p>
    <w:p w:rsidR="00B01E76" w:rsidRPr="000B2D41" w:rsidRDefault="00B01E76" w:rsidP="00F33C25">
      <w:pPr>
        <w:spacing w:line="360" w:lineRule="auto"/>
        <w:jc w:val="both"/>
        <w:rPr>
          <w:rFonts w:ascii="Times New Roman" w:hAnsi="Times New Roman" w:cs="Times New Roman"/>
          <w:sz w:val="24"/>
          <w:szCs w:val="24"/>
        </w:rPr>
      </w:pPr>
      <w:r w:rsidRPr="000B2D41">
        <w:rPr>
          <w:rFonts w:ascii="Times New Roman" w:hAnsi="Times New Roman" w:cs="Times New Roman"/>
          <w:sz w:val="24"/>
          <w:szCs w:val="24"/>
        </w:rPr>
        <w:t>Additionally, subject to section 274(d), travel expenses related to the employees' business travel can be deducted. However, there limitation several limitations as provided in section 274(m), for example, when travel is termed as a form of education. On another note, on the CEO's quarterly lunch, the business is allowed to deduct only 50 percent since it is part of legal meals. They are taken in direct business contracts that are an integral part of the running of the firm.</w:t>
      </w:r>
    </w:p>
    <w:p w:rsidR="00D62715" w:rsidRPr="000B2D41" w:rsidRDefault="00D62715" w:rsidP="00F33C25">
      <w:pPr>
        <w:spacing w:line="360" w:lineRule="auto"/>
        <w:jc w:val="both"/>
        <w:rPr>
          <w:rFonts w:ascii="Times New Roman" w:hAnsi="Times New Roman" w:cs="Times New Roman"/>
          <w:sz w:val="24"/>
          <w:szCs w:val="24"/>
        </w:rPr>
      </w:pPr>
    </w:p>
    <w:p w:rsidR="00D62715" w:rsidRPr="000B2D41" w:rsidRDefault="00D62715" w:rsidP="00C452A4">
      <w:pPr>
        <w:spacing w:line="360" w:lineRule="auto"/>
        <w:jc w:val="both"/>
        <w:rPr>
          <w:rFonts w:ascii="Times New Roman" w:hAnsi="Times New Roman" w:cs="Times New Roman"/>
          <w:sz w:val="24"/>
          <w:szCs w:val="24"/>
        </w:rPr>
      </w:pPr>
    </w:p>
    <w:sectPr w:rsidR="00D62715" w:rsidRPr="000B2D4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50BE" w:rsidRDefault="005750BE" w:rsidP="0035180A">
      <w:pPr>
        <w:spacing w:after="0" w:line="240" w:lineRule="auto"/>
      </w:pPr>
      <w:r>
        <w:separator/>
      </w:r>
    </w:p>
  </w:endnote>
  <w:endnote w:type="continuationSeparator" w:id="0">
    <w:p w:rsidR="005750BE" w:rsidRDefault="005750BE" w:rsidP="00351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50BE" w:rsidRDefault="005750BE" w:rsidP="0035180A">
      <w:pPr>
        <w:spacing w:after="0" w:line="240" w:lineRule="auto"/>
      </w:pPr>
      <w:r>
        <w:separator/>
      </w:r>
    </w:p>
  </w:footnote>
  <w:footnote w:type="continuationSeparator" w:id="0">
    <w:p w:rsidR="005750BE" w:rsidRDefault="005750BE" w:rsidP="00351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2107069467"/>
      <w:docPartObj>
        <w:docPartGallery w:val="Page Numbers (Top of Page)"/>
        <w:docPartUnique/>
      </w:docPartObj>
    </w:sdtPr>
    <w:sdtEndPr>
      <w:rPr>
        <w:noProof/>
      </w:rPr>
    </w:sdtEndPr>
    <w:sdtContent>
      <w:p w:rsidR="0035180A" w:rsidRPr="0035180A" w:rsidRDefault="0035180A">
        <w:pPr>
          <w:pStyle w:val="Header"/>
          <w:jc w:val="right"/>
          <w:rPr>
            <w:rFonts w:ascii="Times New Roman" w:hAnsi="Times New Roman" w:cs="Times New Roman"/>
            <w:sz w:val="24"/>
          </w:rPr>
        </w:pPr>
        <w:r w:rsidRPr="0035180A">
          <w:rPr>
            <w:rFonts w:ascii="Times New Roman" w:hAnsi="Times New Roman" w:cs="Times New Roman"/>
            <w:sz w:val="24"/>
          </w:rPr>
          <w:fldChar w:fldCharType="begin"/>
        </w:r>
        <w:r w:rsidRPr="0035180A">
          <w:rPr>
            <w:rFonts w:ascii="Times New Roman" w:hAnsi="Times New Roman" w:cs="Times New Roman"/>
            <w:sz w:val="24"/>
          </w:rPr>
          <w:instrText xml:space="preserve"> PAGE   \* MERGEFORMAT </w:instrText>
        </w:r>
        <w:r w:rsidRPr="0035180A">
          <w:rPr>
            <w:rFonts w:ascii="Times New Roman" w:hAnsi="Times New Roman" w:cs="Times New Roman"/>
            <w:sz w:val="24"/>
          </w:rPr>
          <w:fldChar w:fldCharType="separate"/>
        </w:r>
        <w:r w:rsidR="00915D5C">
          <w:rPr>
            <w:rFonts w:ascii="Times New Roman" w:hAnsi="Times New Roman" w:cs="Times New Roman"/>
            <w:noProof/>
            <w:sz w:val="24"/>
          </w:rPr>
          <w:t>3</w:t>
        </w:r>
        <w:r w:rsidRPr="0035180A">
          <w:rPr>
            <w:rFonts w:ascii="Times New Roman" w:hAnsi="Times New Roman" w:cs="Times New Roman"/>
            <w:noProof/>
            <w:sz w:val="24"/>
          </w:rPr>
          <w:fldChar w:fldCharType="end"/>
        </w:r>
      </w:p>
    </w:sdtContent>
  </w:sdt>
  <w:p w:rsidR="0035180A" w:rsidRPr="0035180A" w:rsidRDefault="0035180A">
    <w:pPr>
      <w:pStyle w:val="Header"/>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0114C9"/>
    <w:multiLevelType w:val="hybridMultilevel"/>
    <w:tmpl w:val="0BA2B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3F22ED"/>
    <w:multiLevelType w:val="hybridMultilevel"/>
    <w:tmpl w:val="4AFE5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8C5"/>
    <w:rsid w:val="0000140D"/>
    <w:rsid w:val="00005823"/>
    <w:rsid w:val="00012B09"/>
    <w:rsid w:val="00047C1B"/>
    <w:rsid w:val="0005111F"/>
    <w:rsid w:val="00055080"/>
    <w:rsid w:val="000640CD"/>
    <w:rsid w:val="00073DA3"/>
    <w:rsid w:val="000828F8"/>
    <w:rsid w:val="000937BC"/>
    <w:rsid w:val="000A4496"/>
    <w:rsid w:val="000A57DA"/>
    <w:rsid w:val="000B2D41"/>
    <w:rsid w:val="000B3C22"/>
    <w:rsid w:val="000D56E1"/>
    <w:rsid w:val="000D71CD"/>
    <w:rsid w:val="001019F1"/>
    <w:rsid w:val="001556EF"/>
    <w:rsid w:val="00155A2B"/>
    <w:rsid w:val="001608A8"/>
    <w:rsid w:val="00161758"/>
    <w:rsid w:val="00172906"/>
    <w:rsid w:val="0017337D"/>
    <w:rsid w:val="001737F0"/>
    <w:rsid w:val="001742E1"/>
    <w:rsid w:val="001827E6"/>
    <w:rsid w:val="001B76C8"/>
    <w:rsid w:val="001C241F"/>
    <w:rsid w:val="001D7CF2"/>
    <w:rsid w:val="001E2F83"/>
    <w:rsid w:val="001F2B31"/>
    <w:rsid w:val="001F330F"/>
    <w:rsid w:val="00213ECF"/>
    <w:rsid w:val="0022412F"/>
    <w:rsid w:val="00234C1F"/>
    <w:rsid w:val="00261D49"/>
    <w:rsid w:val="00264DE2"/>
    <w:rsid w:val="002A21E6"/>
    <w:rsid w:val="002B38CD"/>
    <w:rsid w:val="002D7F6F"/>
    <w:rsid w:val="003046A8"/>
    <w:rsid w:val="003244D6"/>
    <w:rsid w:val="0035180A"/>
    <w:rsid w:val="003574CD"/>
    <w:rsid w:val="0037460B"/>
    <w:rsid w:val="00377140"/>
    <w:rsid w:val="00377765"/>
    <w:rsid w:val="003808F1"/>
    <w:rsid w:val="00385BA3"/>
    <w:rsid w:val="00385C6B"/>
    <w:rsid w:val="00385F1A"/>
    <w:rsid w:val="00390916"/>
    <w:rsid w:val="00423DBA"/>
    <w:rsid w:val="00433823"/>
    <w:rsid w:val="0043734F"/>
    <w:rsid w:val="004468F0"/>
    <w:rsid w:val="00451388"/>
    <w:rsid w:val="0045211D"/>
    <w:rsid w:val="00452E47"/>
    <w:rsid w:val="004569CA"/>
    <w:rsid w:val="00460D48"/>
    <w:rsid w:val="00473063"/>
    <w:rsid w:val="004E03EC"/>
    <w:rsid w:val="004F5BEA"/>
    <w:rsid w:val="005045EF"/>
    <w:rsid w:val="0051733A"/>
    <w:rsid w:val="00517696"/>
    <w:rsid w:val="0052165F"/>
    <w:rsid w:val="005352FF"/>
    <w:rsid w:val="00535880"/>
    <w:rsid w:val="00566B57"/>
    <w:rsid w:val="005713B6"/>
    <w:rsid w:val="005750BE"/>
    <w:rsid w:val="00581DAF"/>
    <w:rsid w:val="005823F2"/>
    <w:rsid w:val="00585099"/>
    <w:rsid w:val="0059587B"/>
    <w:rsid w:val="005A3C86"/>
    <w:rsid w:val="005A630F"/>
    <w:rsid w:val="005D1F42"/>
    <w:rsid w:val="005F7B1E"/>
    <w:rsid w:val="005F7B53"/>
    <w:rsid w:val="00603193"/>
    <w:rsid w:val="00603F71"/>
    <w:rsid w:val="006203F9"/>
    <w:rsid w:val="00626A58"/>
    <w:rsid w:val="00636DF3"/>
    <w:rsid w:val="00641115"/>
    <w:rsid w:val="0065071C"/>
    <w:rsid w:val="00652E41"/>
    <w:rsid w:val="00675539"/>
    <w:rsid w:val="006838C6"/>
    <w:rsid w:val="00684BDF"/>
    <w:rsid w:val="00690EDE"/>
    <w:rsid w:val="00691312"/>
    <w:rsid w:val="006A323C"/>
    <w:rsid w:val="006C31ED"/>
    <w:rsid w:val="006D0A9A"/>
    <w:rsid w:val="006F52E3"/>
    <w:rsid w:val="00722E0F"/>
    <w:rsid w:val="00733E2D"/>
    <w:rsid w:val="00744C9F"/>
    <w:rsid w:val="00752596"/>
    <w:rsid w:val="00763A3C"/>
    <w:rsid w:val="00777FCE"/>
    <w:rsid w:val="00781062"/>
    <w:rsid w:val="007C4E02"/>
    <w:rsid w:val="007D3802"/>
    <w:rsid w:val="007E420F"/>
    <w:rsid w:val="007F024B"/>
    <w:rsid w:val="007F281C"/>
    <w:rsid w:val="00811A4F"/>
    <w:rsid w:val="00813AAB"/>
    <w:rsid w:val="00820B65"/>
    <w:rsid w:val="00830E7F"/>
    <w:rsid w:val="00836E38"/>
    <w:rsid w:val="008462DF"/>
    <w:rsid w:val="00884477"/>
    <w:rsid w:val="008931D8"/>
    <w:rsid w:val="008D2543"/>
    <w:rsid w:val="00915D5C"/>
    <w:rsid w:val="00925730"/>
    <w:rsid w:val="0092705E"/>
    <w:rsid w:val="00932EA3"/>
    <w:rsid w:val="009454D1"/>
    <w:rsid w:val="00953781"/>
    <w:rsid w:val="00960032"/>
    <w:rsid w:val="00961FD8"/>
    <w:rsid w:val="00963FD4"/>
    <w:rsid w:val="00975BDC"/>
    <w:rsid w:val="009A075A"/>
    <w:rsid w:val="009A2A5E"/>
    <w:rsid w:val="009B2F27"/>
    <w:rsid w:val="009C3532"/>
    <w:rsid w:val="009C4A14"/>
    <w:rsid w:val="009E1840"/>
    <w:rsid w:val="009F46CB"/>
    <w:rsid w:val="00A312A4"/>
    <w:rsid w:val="00A51B49"/>
    <w:rsid w:val="00A60556"/>
    <w:rsid w:val="00A608CB"/>
    <w:rsid w:val="00A7325D"/>
    <w:rsid w:val="00A91818"/>
    <w:rsid w:val="00A977FF"/>
    <w:rsid w:val="00B01E76"/>
    <w:rsid w:val="00B12614"/>
    <w:rsid w:val="00B14809"/>
    <w:rsid w:val="00B2752E"/>
    <w:rsid w:val="00B31AC4"/>
    <w:rsid w:val="00B46230"/>
    <w:rsid w:val="00B85BEE"/>
    <w:rsid w:val="00B966E7"/>
    <w:rsid w:val="00B96761"/>
    <w:rsid w:val="00B9762B"/>
    <w:rsid w:val="00BD326E"/>
    <w:rsid w:val="00BD7B62"/>
    <w:rsid w:val="00BE3775"/>
    <w:rsid w:val="00C1754A"/>
    <w:rsid w:val="00C22D9C"/>
    <w:rsid w:val="00C341D3"/>
    <w:rsid w:val="00C452A4"/>
    <w:rsid w:val="00C52891"/>
    <w:rsid w:val="00C60ABC"/>
    <w:rsid w:val="00C77625"/>
    <w:rsid w:val="00C959FC"/>
    <w:rsid w:val="00C975FD"/>
    <w:rsid w:val="00CA32B5"/>
    <w:rsid w:val="00CB2D40"/>
    <w:rsid w:val="00CB68C5"/>
    <w:rsid w:val="00CC06D5"/>
    <w:rsid w:val="00CC0A14"/>
    <w:rsid w:val="00CC2ADF"/>
    <w:rsid w:val="00CC366C"/>
    <w:rsid w:val="00CD20E7"/>
    <w:rsid w:val="00CF0C99"/>
    <w:rsid w:val="00CF3644"/>
    <w:rsid w:val="00D124BA"/>
    <w:rsid w:val="00D1325F"/>
    <w:rsid w:val="00D15A7C"/>
    <w:rsid w:val="00D15F07"/>
    <w:rsid w:val="00D2108A"/>
    <w:rsid w:val="00D32099"/>
    <w:rsid w:val="00D554EE"/>
    <w:rsid w:val="00D62715"/>
    <w:rsid w:val="00D84E55"/>
    <w:rsid w:val="00DE7883"/>
    <w:rsid w:val="00DF041A"/>
    <w:rsid w:val="00E42B69"/>
    <w:rsid w:val="00E60877"/>
    <w:rsid w:val="00E64CD7"/>
    <w:rsid w:val="00E73567"/>
    <w:rsid w:val="00E74139"/>
    <w:rsid w:val="00E956B7"/>
    <w:rsid w:val="00EB642A"/>
    <w:rsid w:val="00EB65E5"/>
    <w:rsid w:val="00EE0903"/>
    <w:rsid w:val="00EF1E19"/>
    <w:rsid w:val="00F0511E"/>
    <w:rsid w:val="00F217A3"/>
    <w:rsid w:val="00F33C25"/>
    <w:rsid w:val="00F80214"/>
    <w:rsid w:val="00FB01FF"/>
    <w:rsid w:val="00FB2451"/>
    <w:rsid w:val="00FB6DA2"/>
    <w:rsid w:val="00FC71DF"/>
    <w:rsid w:val="00FF6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DDBCC4-4F6A-436F-BF25-FC4B5AE8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608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0877"/>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E64CD7"/>
    <w:pPr>
      <w:ind w:left="720"/>
      <w:contextualSpacing/>
    </w:pPr>
  </w:style>
  <w:style w:type="paragraph" w:styleId="Header">
    <w:name w:val="header"/>
    <w:basedOn w:val="Normal"/>
    <w:link w:val="HeaderChar"/>
    <w:uiPriority w:val="99"/>
    <w:unhideWhenUsed/>
    <w:rsid w:val="00351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80A"/>
  </w:style>
  <w:style w:type="paragraph" w:styleId="Footer">
    <w:name w:val="footer"/>
    <w:basedOn w:val="Normal"/>
    <w:link w:val="FooterChar"/>
    <w:uiPriority w:val="99"/>
    <w:unhideWhenUsed/>
    <w:rsid w:val="00351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1121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760</Words>
  <Characters>4336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4</cp:revision>
  <dcterms:created xsi:type="dcterms:W3CDTF">2021-10-15T20:58:00Z</dcterms:created>
  <dcterms:modified xsi:type="dcterms:W3CDTF">2021-10-15T20:59:00Z</dcterms:modified>
</cp:coreProperties>
</file>